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1750" w14:textId="2631D00A" w:rsidR="000A2B50" w:rsidRPr="000A2B50" w:rsidRDefault="000A2B50" w:rsidP="000A2B50">
      <w:pPr>
        <w:tabs>
          <w:tab w:val="left" w:pos="5760"/>
        </w:tabs>
        <w:spacing w:after="0" w:line="240" w:lineRule="auto"/>
        <w:jc w:val="center"/>
        <w:rPr>
          <w:rFonts w:ascii="Arial" w:hAnsi="Arial" w:cs="Arial"/>
          <w:b/>
          <w:sz w:val="24"/>
          <w:szCs w:val="24"/>
        </w:rPr>
      </w:pPr>
      <w:r w:rsidRPr="000A2B50">
        <w:rPr>
          <w:rFonts w:ascii="Arial" w:hAnsi="Arial" w:cs="Arial"/>
          <w:b/>
          <w:sz w:val="24"/>
          <w:szCs w:val="24"/>
        </w:rPr>
        <w:t>Resolution Supporting the Development of Resuscitation Centers of Excellence and Resuscitation Systems of Care in Florida</w:t>
      </w:r>
    </w:p>
    <w:p w14:paraId="37C1A439" w14:textId="77777777" w:rsidR="000A2B50" w:rsidRDefault="000A2B50" w:rsidP="000A2B50">
      <w:pPr>
        <w:tabs>
          <w:tab w:val="left" w:pos="5760"/>
        </w:tabs>
        <w:spacing w:after="0" w:line="240" w:lineRule="auto"/>
        <w:jc w:val="both"/>
        <w:rPr>
          <w:rFonts w:ascii="Arial" w:hAnsi="Arial" w:cs="Arial"/>
          <w:bCs/>
        </w:rPr>
      </w:pPr>
    </w:p>
    <w:p w14:paraId="33FD3126" w14:textId="77777777" w:rsidR="000A2B50" w:rsidRDefault="000A2B50" w:rsidP="000A2B50">
      <w:pPr>
        <w:tabs>
          <w:tab w:val="left" w:pos="5760"/>
        </w:tabs>
        <w:spacing w:after="0" w:line="240" w:lineRule="auto"/>
        <w:jc w:val="both"/>
        <w:rPr>
          <w:rFonts w:ascii="Arial" w:hAnsi="Arial" w:cs="Arial"/>
          <w:bCs/>
        </w:rPr>
      </w:pPr>
    </w:p>
    <w:p w14:paraId="1175F3A3" w14:textId="36E64838" w:rsidR="00413553" w:rsidRDefault="00413553" w:rsidP="000A2B50">
      <w:pPr>
        <w:tabs>
          <w:tab w:val="left" w:pos="5760"/>
        </w:tabs>
        <w:spacing w:after="0" w:line="240" w:lineRule="auto"/>
        <w:jc w:val="both"/>
        <w:rPr>
          <w:rFonts w:ascii="Arial" w:hAnsi="Arial" w:cs="Arial"/>
          <w:bCs/>
        </w:rPr>
      </w:pPr>
      <w:proofErr w:type="gramStart"/>
      <w:r w:rsidRPr="000A2B50">
        <w:rPr>
          <w:rFonts w:ascii="Arial" w:hAnsi="Arial" w:cs="Arial"/>
          <w:bCs/>
        </w:rPr>
        <w:t>WHEREAS</w:t>
      </w:r>
      <w:r>
        <w:rPr>
          <w:rFonts w:ascii="Arial" w:hAnsi="Arial" w:cs="Arial"/>
          <w:bCs/>
        </w:rPr>
        <w:t>,</w:t>
      </w:r>
      <w:proofErr w:type="gramEnd"/>
      <w:r w:rsidR="000A2B50" w:rsidRPr="000A2B50">
        <w:rPr>
          <w:rFonts w:ascii="Arial" w:hAnsi="Arial" w:cs="Arial"/>
          <w:bCs/>
        </w:rPr>
        <w:t xml:space="preserve"> cardiac arrest is a leading cause of death in Florida, and improvement in survival rates continues to lag behind improvements seen in other time-sensitive diagnosis systems such as trauma, STEMI, or stroke; and</w:t>
      </w:r>
      <w:r w:rsidR="000A2B50">
        <w:rPr>
          <w:rFonts w:ascii="Arial" w:hAnsi="Arial" w:cs="Arial"/>
          <w:bCs/>
        </w:rPr>
        <w:t xml:space="preserve"> </w:t>
      </w:r>
    </w:p>
    <w:p w14:paraId="14E79AA0" w14:textId="77777777" w:rsidR="00413553" w:rsidRDefault="00413553" w:rsidP="000A2B50">
      <w:pPr>
        <w:tabs>
          <w:tab w:val="left" w:pos="5760"/>
        </w:tabs>
        <w:spacing w:after="0" w:line="240" w:lineRule="auto"/>
        <w:jc w:val="both"/>
        <w:rPr>
          <w:rFonts w:ascii="Arial" w:hAnsi="Arial" w:cs="Arial"/>
          <w:bCs/>
        </w:rPr>
      </w:pPr>
    </w:p>
    <w:p w14:paraId="41AF93D2" w14:textId="77777777" w:rsidR="00413553" w:rsidRDefault="000A2B50" w:rsidP="000A2B50">
      <w:pPr>
        <w:tabs>
          <w:tab w:val="left" w:pos="5760"/>
        </w:tabs>
        <w:spacing w:after="0" w:line="240" w:lineRule="auto"/>
        <w:jc w:val="both"/>
        <w:rPr>
          <w:rFonts w:ascii="Arial" w:hAnsi="Arial" w:cs="Arial"/>
          <w:bCs/>
        </w:rPr>
      </w:pPr>
      <w:r w:rsidRPr="000A2B50">
        <w:rPr>
          <w:rFonts w:ascii="Arial" w:hAnsi="Arial" w:cs="Arial"/>
          <w:bCs/>
        </w:rPr>
        <w:t>WHEREAS, the Florida EMS Advisory Council, as outlined in section 401.245, Florida Statutes, is committed to facilitating and promoting the best emergency medical care to the residents and visitors of Florida; and</w:t>
      </w:r>
    </w:p>
    <w:p w14:paraId="6F54062A" w14:textId="77777777" w:rsidR="00413553" w:rsidRDefault="00413553" w:rsidP="000A2B50">
      <w:pPr>
        <w:tabs>
          <w:tab w:val="left" w:pos="5760"/>
        </w:tabs>
        <w:spacing w:after="0" w:line="240" w:lineRule="auto"/>
        <w:jc w:val="both"/>
        <w:rPr>
          <w:rFonts w:ascii="Arial" w:hAnsi="Arial" w:cs="Arial"/>
          <w:bCs/>
        </w:rPr>
      </w:pPr>
    </w:p>
    <w:p w14:paraId="17A303FD" w14:textId="77777777" w:rsidR="00413553" w:rsidRDefault="000A2B50" w:rsidP="000A2B50">
      <w:pPr>
        <w:tabs>
          <w:tab w:val="left" w:pos="5760"/>
        </w:tabs>
        <w:spacing w:after="0" w:line="240" w:lineRule="auto"/>
        <w:jc w:val="both"/>
        <w:rPr>
          <w:rFonts w:ascii="Arial" w:hAnsi="Arial" w:cs="Arial"/>
          <w:bCs/>
        </w:rPr>
      </w:pPr>
      <w:proofErr w:type="gramStart"/>
      <w:r w:rsidRPr="000A2B50">
        <w:rPr>
          <w:rFonts w:ascii="Arial" w:hAnsi="Arial" w:cs="Arial"/>
          <w:bCs/>
        </w:rPr>
        <w:t>WHEREAS,</w:t>
      </w:r>
      <w:proofErr w:type="gramEnd"/>
      <w:r w:rsidRPr="000A2B50">
        <w:rPr>
          <w:rFonts w:ascii="Arial" w:hAnsi="Arial" w:cs="Arial"/>
          <w:bCs/>
        </w:rPr>
        <w:t xml:space="preserve"> the Florida Legislature recognizes that the systematic provision of emergency medical services saves lives and reduces disability associated with emergencies; and</w:t>
      </w:r>
    </w:p>
    <w:p w14:paraId="2950D9FA" w14:textId="77777777" w:rsidR="00413553" w:rsidRDefault="00413553" w:rsidP="000A2B50">
      <w:pPr>
        <w:tabs>
          <w:tab w:val="left" w:pos="5760"/>
        </w:tabs>
        <w:spacing w:after="0" w:line="240" w:lineRule="auto"/>
        <w:jc w:val="both"/>
        <w:rPr>
          <w:rFonts w:ascii="Arial" w:hAnsi="Arial" w:cs="Arial"/>
          <w:bCs/>
        </w:rPr>
      </w:pPr>
    </w:p>
    <w:p w14:paraId="7983312B" w14:textId="02189DFB" w:rsidR="00413553" w:rsidRDefault="000A2B50" w:rsidP="000A2B50">
      <w:pPr>
        <w:tabs>
          <w:tab w:val="left" w:pos="5760"/>
        </w:tabs>
        <w:spacing w:after="0" w:line="240" w:lineRule="auto"/>
        <w:jc w:val="both"/>
        <w:rPr>
          <w:rFonts w:ascii="Arial" w:hAnsi="Arial" w:cs="Arial"/>
          <w:bCs/>
        </w:rPr>
      </w:pPr>
      <w:proofErr w:type="gramStart"/>
      <w:r w:rsidRPr="000A2B50">
        <w:rPr>
          <w:rFonts w:ascii="Arial" w:hAnsi="Arial" w:cs="Arial"/>
          <w:bCs/>
        </w:rPr>
        <w:t>WHEREAS,</w:t>
      </w:r>
      <w:proofErr w:type="gramEnd"/>
      <w:r w:rsidRPr="000A2B50">
        <w:rPr>
          <w:rFonts w:ascii="Arial" w:hAnsi="Arial" w:cs="Arial"/>
          <w:bCs/>
        </w:rPr>
        <w:t xml:space="preserve"> the establishment of a system of care designed to improve efficiency of treatment and outcomes for patients experiencing cardiac arrest with return of spontaneous circulation (ROSC) is a primary goal of the </w:t>
      </w:r>
      <w:r w:rsidR="00413553">
        <w:rPr>
          <w:rFonts w:ascii="Arial" w:hAnsi="Arial" w:cs="Arial"/>
          <w:bCs/>
        </w:rPr>
        <w:t>Medical Care</w:t>
      </w:r>
      <w:r w:rsidRPr="000A2B50">
        <w:rPr>
          <w:rFonts w:ascii="Arial" w:hAnsi="Arial" w:cs="Arial"/>
          <w:bCs/>
        </w:rPr>
        <w:t xml:space="preserve"> Committee; and</w:t>
      </w:r>
    </w:p>
    <w:p w14:paraId="24622B4C" w14:textId="77777777" w:rsidR="00413553" w:rsidRDefault="00413553" w:rsidP="000A2B50">
      <w:pPr>
        <w:tabs>
          <w:tab w:val="left" w:pos="5760"/>
        </w:tabs>
        <w:spacing w:after="0" w:line="240" w:lineRule="auto"/>
        <w:jc w:val="both"/>
        <w:rPr>
          <w:rFonts w:ascii="Arial" w:hAnsi="Arial" w:cs="Arial"/>
          <w:bCs/>
        </w:rPr>
      </w:pPr>
    </w:p>
    <w:p w14:paraId="007547E0" w14:textId="77777777" w:rsidR="00413553" w:rsidRDefault="000A2B50" w:rsidP="000A2B50">
      <w:pPr>
        <w:tabs>
          <w:tab w:val="left" w:pos="5760"/>
        </w:tabs>
        <w:spacing w:after="0" w:line="240" w:lineRule="auto"/>
        <w:jc w:val="both"/>
        <w:rPr>
          <w:rFonts w:ascii="Arial" w:hAnsi="Arial" w:cs="Arial"/>
          <w:bCs/>
        </w:rPr>
      </w:pPr>
      <w:proofErr w:type="gramStart"/>
      <w:r w:rsidRPr="000A2B50">
        <w:rPr>
          <w:rFonts w:ascii="Arial" w:hAnsi="Arial" w:cs="Arial"/>
          <w:bCs/>
        </w:rPr>
        <w:t>WHEREAS,</w:t>
      </w:r>
      <w:proofErr w:type="gramEnd"/>
      <w:r w:rsidRPr="000A2B50">
        <w:rPr>
          <w:rFonts w:ascii="Arial" w:hAnsi="Arial" w:cs="Arial"/>
          <w:bCs/>
        </w:rPr>
        <w:t xml:space="preserve"> the designation of eligible hospitals as Resuscitation Centers of Excellence and the development of EMS transportation guidelines directing patients to these centers of excellence is a key strategy in achieving this goal;</w:t>
      </w:r>
    </w:p>
    <w:p w14:paraId="43CA8D69" w14:textId="77777777" w:rsidR="00413553" w:rsidRDefault="00413553" w:rsidP="000A2B50">
      <w:pPr>
        <w:tabs>
          <w:tab w:val="left" w:pos="5760"/>
        </w:tabs>
        <w:spacing w:after="0" w:line="240" w:lineRule="auto"/>
        <w:jc w:val="both"/>
        <w:rPr>
          <w:rFonts w:ascii="Arial" w:hAnsi="Arial" w:cs="Arial"/>
          <w:bCs/>
        </w:rPr>
      </w:pPr>
    </w:p>
    <w:p w14:paraId="6215D2E2" w14:textId="05714CED" w:rsidR="000A2B50" w:rsidRDefault="000A2B50" w:rsidP="000A2B50">
      <w:pPr>
        <w:tabs>
          <w:tab w:val="left" w:pos="5760"/>
        </w:tabs>
        <w:spacing w:after="0" w:line="240" w:lineRule="auto"/>
        <w:jc w:val="both"/>
        <w:rPr>
          <w:rFonts w:ascii="Arial" w:hAnsi="Arial" w:cs="Arial"/>
          <w:bCs/>
        </w:rPr>
      </w:pPr>
      <w:r w:rsidRPr="000A2B50">
        <w:rPr>
          <w:rFonts w:ascii="Arial" w:hAnsi="Arial" w:cs="Arial"/>
          <w:bCs/>
        </w:rPr>
        <w:t>NOW, THEREFORE, BE IT RESOLVED that the Florida EMS Advisory Council:</w:t>
      </w:r>
    </w:p>
    <w:p w14:paraId="66A0D00D" w14:textId="77777777" w:rsidR="00413553" w:rsidRPr="000A2B50" w:rsidRDefault="00413553" w:rsidP="000A2B50">
      <w:pPr>
        <w:tabs>
          <w:tab w:val="left" w:pos="5760"/>
        </w:tabs>
        <w:spacing w:after="0" w:line="240" w:lineRule="auto"/>
        <w:jc w:val="both"/>
        <w:rPr>
          <w:rFonts w:ascii="Arial" w:hAnsi="Arial" w:cs="Arial"/>
          <w:bCs/>
        </w:rPr>
      </w:pPr>
    </w:p>
    <w:p w14:paraId="6A321AE1" w14:textId="57045C66" w:rsidR="000A2B50" w:rsidRDefault="000A2B50" w:rsidP="003D5D6B">
      <w:pPr>
        <w:numPr>
          <w:ilvl w:val="0"/>
          <w:numId w:val="9"/>
        </w:numPr>
        <w:tabs>
          <w:tab w:val="left" w:pos="5760"/>
        </w:tabs>
        <w:spacing w:after="0" w:line="240" w:lineRule="auto"/>
        <w:jc w:val="both"/>
        <w:rPr>
          <w:rFonts w:ascii="Arial" w:hAnsi="Arial" w:cs="Arial"/>
          <w:bCs/>
        </w:rPr>
      </w:pPr>
      <w:r w:rsidRPr="000A2B50">
        <w:rPr>
          <w:rFonts w:ascii="Arial" w:hAnsi="Arial" w:cs="Arial"/>
          <w:bCs/>
        </w:rPr>
        <w:t xml:space="preserve">Supports the development of Resuscitation Centers of Excellence in Florida, which meet the criteria outlined </w:t>
      </w:r>
      <w:r w:rsidR="00413553">
        <w:rPr>
          <w:rFonts w:ascii="Arial" w:hAnsi="Arial" w:cs="Arial"/>
          <w:bCs/>
        </w:rPr>
        <w:t>by the Florida Association of EMS Medical Directors</w:t>
      </w:r>
      <w:r w:rsidR="00413553" w:rsidRPr="00413553">
        <w:rPr>
          <w:rFonts w:ascii="Arial" w:hAnsi="Arial" w:cs="Arial"/>
          <w:bCs/>
        </w:rPr>
        <w:t>.</w:t>
      </w:r>
    </w:p>
    <w:p w14:paraId="665DE9F0" w14:textId="77777777" w:rsidR="00413553" w:rsidRPr="000A2B50" w:rsidRDefault="00413553" w:rsidP="00413553">
      <w:pPr>
        <w:tabs>
          <w:tab w:val="left" w:pos="5760"/>
        </w:tabs>
        <w:spacing w:after="0" w:line="240" w:lineRule="auto"/>
        <w:ind w:left="720"/>
        <w:jc w:val="both"/>
        <w:rPr>
          <w:rFonts w:ascii="Arial" w:hAnsi="Arial" w:cs="Arial"/>
          <w:bCs/>
        </w:rPr>
      </w:pPr>
    </w:p>
    <w:p w14:paraId="36A2B865" w14:textId="30F564CE" w:rsidR="000A2B50" w:rsidRDefault="000A2B50" w:rsidP="00ED66B1">
      <w:pPr>
        <w:numPr>
          <w:ilvl w:val="0"/>
          <w:numId w:val="9"/>
        </w:numPr>
        <w:tabs>
          <w:tab w:val="left" w:pos="5760"/>
        </w:tabs>
        <w:spacing w:after="0" w:line="240" w:lineRule="auto"/>
        <w:jc w:val="both"/>
        <w:rPr>
          <w:rFonts w:ascii="Arial" w:hAnsi="Arial" w:cs="Arial"/>
          <w:bCs/>
        </w:rPr>
      </w:pPr>
      <w:r w:rsidRPr="000A2B50">
        <w:rPr>
          <w:rFonts w:ascii="Arial" w:hAnsi="Arial" w:cs="Arial"/>
          <w:bCs/>
        </w:rPr>
        <w:t>Encourages EMS agencies and hospitals to collaborate in the creation of Resuscitation Systems of Care, with a focus on performance improvement, data collection/analysis, and enhanced stakeholder engagement</w:t>
      </w:r>
      <w:r w:rsidR="00413553" w:rsidRPr="00413553">
        <w:rPr>
          <w:rFonts w:ascii="Arial" w:hAnsi="Arial" w:cs="Arial"/>
          <w:bCs/>
        </w:rPr>
        <w:t>.</w:t>
      </w:r>
    </w:p>
    <w:p w14:paraId="5128FA3E" w14:textId="77777777" w:rsidR="00413553" w:rsidRPr="000A2B50" w:rsidRDefault="00413553" w:rsidP="00413553">
      <w:pPr>
        <w:tabs>
          <w:tab w:val="left" w:pos="5760"/>
        </w:tabs>
        <w:spacing w:after="0" w:line="240" w:lineRule="auto"/>
        <w:ind w:left="720"/>
        <w:jc w:val="both"/>
        <w:rPr>
          <w:rFonts w:ascii="Arial" w:hAnsi="Arial" w:cs="Arial"/>
          <w:bCs/>
        </w:rPr>
      </w:pPr>
    </w:p>
    <w:p w14:paraId="33204815" w14:textId="690C1C9E" w:rsidR="000A2B50" w:rsidRDefault="000A2B50" w:rsidP="009A137F">
      <w:pPr>
        <w:numPr>
          <w:ilvl w:val="0"/>
          <w:numId w:val="9"/>
        </w:numPr>
        <w:tabs>
          <w:tab w:val="left" w:pos="5760"/>
        </w:tabs>
        <w:spacing w:after="0" w:line="240" w:lineRule="auto"/>
        <w:jc w:val="both"/>
        <w:rPr>
          <w:rFonts w:ascii="Arial" w:hAnsi="Arial" w:cs="Arial"/>
          <w:bCs/>
        </w:rPr>
      </w:pPr>
      <w:r w:rsidRPr="000A2B50">
        <w:rPr>
          <w:rFonts w:ascii="Arial" w:hAnsi="Arial" w:cs="Arial"/>
          <w:bCs/>
        </w:rPr>
        <w:t>Advocates for the use of evidence-based educational interventions, treatments, and protocols to improve the level of care offered to patients needing active resuscitation</w:t>
      </w:r>
      <w:r w:rsidR="00413553" w:rsidRPr="00413553">
        <w:rPr>
          <w:rFonts w:ascii="Arial" w:hAnsi="Arial" w:cs="Arial"/>
          <w:bCs/>
        </w:rPr>
        <w:t>.</w:t>
      </w:r>
    </w:p>
    <w:p w14:paraId="10B2CCCB" w14:textId="77777777" w:rsidR="00413553" w:rsidRPr="000A2B50" w:rsidRDefault="00413553" w:rsidP="00413553">
      <w:pPr>
        <w:tabs>
          <w:tab w:val="left" w:pos="5760"/>
        </w:tabs>
        <w:spacing w:after="0" w:line="240" w:lineRule="auto"/>
        <w:ind w:left="720"/>
        <w:jc w:val="both"/>
        <w:rPr>
          <w:rFonts w:ascii="Arial" w:hAnsi="Arial" w:cs="Arial"/>
          <w:bCs/>
        </w:rPr>
      </w:pPr>
    </w:p>
    <w:p w14:paraId="4BB0A350" w14:textId="016CB943" w:rsidR="000A2B50" w:rsidRDefault="000A2B50" w:rsidP="00B732EC">
      <w:pPr>
        <w:numPr>
          <w:ilvl w:val="0"/>
          <w:numId w:val="9"/>
        </w:numPr>
        <w:tabs>
          <w:tab w:val="left" w:pos="5760"/>
        </w:tabs>
        <w:spacing w:after="0" w:line="240" w:lineRule="auto"/>
        <w:jc w:val="both"/>
        <w:rPr>
          <w:rFonts w:ascii="Arial" w:hAnsi="Arial" w:cs="Arial"/>
          <w:bCs/>
        </w:rPr>
      </w:pPr>
      <w:r w:rsidRPr="000A2B50">
        <w:rPr>
          <w:rFonts w:ascii="Arial" w:hAnsi="Arial" w:cs="Arial"/>
          <w:bCs/>
        </w:rPr>
        <w:t>Endorses the development of a “bundle of care” for cardiac arrest and cardiogenic shock patients that can be used to develop EMS, Hospital, and rehabilitation treatment guidelines</w:t>
      </w:r>
      <w:r w:rsidR="00413553" w:rsidRPr="00413553">
        <w:rPr>
          <w:rFonts w:ascii="Arial" w:hAnsi="Arial" w:cs="Arial"/>
          <w:bCs/>
        </w:rPr>
        <w:t>.</w:t>
      </w:r>
    </w:p>
    <w:p w14:paraId="430BF344" w14:textId="77777777" w:rsidR="00413553" w:rsidRPr="000A2B50" w:rsidRDefault="00413553" w:rsidP="00413553">
      <w:pPr>
        <w:tabs>
          <w:tab w:val="left" w:pos="5760"/>
        </w:tabs>
        <w:spacing w:after="0" w:line="240" w:lineRule="auto"/>
        <w:ind w:left="720"/>
        <w:jc w:val="both"/>
        <w:rPr>
          <w:rFonts w:ascii="Arial" w:hAnsi="Arial" w:cs="Arial"/>
          <w:bCs/>
        </w:rPr>
      </w:pPr>
    </w:p>
    <w:p w14:paraId="5276013D" w14:textId="247FDDB8" w:rsidR="000A2B50" w:rsidRDefault="000A2B50" w:rsidP="000A2B50">
      <w:pPr>
        <w:numPr>
          <w:ilvl w:val="0"/>
          <w:numId w:val="9"/>
        </w:numPr>
        <w:tabs>
          <w:tab w:val="left" w:pos="5760"/>
        </w:tabs>
        <w:spacing w:after="0" w:line="240" w:lineRule="auto"/>
        <w:jc w:val="both"/>
        <w:rPr>
          <w:rFonts w:ascii="Arial" w:hAnsi="Arial" w:cs="Arial"/>
          <w:bCs/>
        </w:rPr>
      </w:pPr>
      <w:r w:rsidRPr="000A2B50">
        <w:rPr>
          <w:rFonts w:ascii="Arial" w:hAnsi="Arial" w:cs="Arial"/>
          <w:bCs/>
        </w:rPr>
        <w:t>Recommends the creation of a network of support systems for survivors of cardiac arrest and their families to enhance their rehabilitation and promote post-event wellness</w:t>
      </w:r>
      <w:r w:rsidR="00413553">
        <w:rPr>
          <w:rFonts w:ascii="Arial" w:hAnsi="Arial" w:cs="Arial"/>
          <w:bCs/>
        </w:rPr>
        <w:t>.</w:t>
      </w:r>
    </w:p>
    <w:p w14:paraId="65D9E0E1" w14:textId="77777777" w:rsidR="00413553" w:rsidRDefault="00413553" w:rsidP="00413553">
      <w:pPr>
        <w:pStyle w:val="ListParagraph"/>
        <w:rPr>
          <w:rFonts w:ascii="Arial" w:hAnsi="Arial" w:cs="Arial"/>
          <w:bCs/>
        </w:rPr>
      </w:pPr>
    </w:p>
    <w:p w14:paraId="510CEB3F" w14:textId="665A6947" w:rsidR="00AB1D4E" w:rsidRDefault="000A2B50" w:rsidP="00413553">
      <w:pPr>
        <w:tabs>
          <w:tab w:val="left" w:pos="5760"/>
        </w:tabs>
        <w:spacing w:before="120" w:after="120" w:line="240" w:lineRule="auto"/>
        <w:jc w:val="both"/>
        <w:rPr>
          <w:rFonts w:ascii="Arial" w:hAnsi="Arial" w:cs="Arial"/>
          <w:bCs/>
        </w:rPr>
      </w:pPr>
      <w:r w:rsidRPr="000A2B50">
        <w:rPr>
          <w:rFonts w:ascii="Arial" w:hAnsi="Arial" w:cs="Arial"/>
          <w:bCs/>
        </w:rPr>
        <w:t>BE IT FURTHER RESOLVED that the Florida EMS Advisory Council will work with stakeholders to promote this resolution and the development of Resuscitation Centers of Excellence and Resuscitation Systems of Care in Florida. This draft resolution is based on the mission and vision of the Florida EMS Advisory Council, and the legislative intent for the Florida EMS system</w:t>
      </w:r>
      <w:r w:rsidR="00413553">
        <w:rPr>
          <w:rFonts w:ascii="Arial" w:hAnsi="Arial" w:cs="Arial"/>
          <w:bCs/>
        </w:rPr>
        <w:t>.</w:t>
      </w:r>
      <w:r w:rsidRPr="000A2B50">
        <w:rPr>
          <w:rFonts w:ascii="Arial" w:hAnsi="Arial" w:cs="Arial"/>
          <w:bCs/>
        </w:rPr>
        <w:t> It is designed to provide a clear statement of support for the development of Resuscitation Centers of Excellence and Resuscitation Systems of Care in Florida.</w:t>
      </w:r>
      <w:r w:rsidR="00AB1D4E">
        <w:rPr>
          <w:rFonts w:ascii="Arial" w:hAnsi="Arial" w:cs="Arial"/>
          <w:bCs/>
        </w:rPr>
        <w:tab/>
      </w:r>
      <w:r w:rsidR="00AB1D4E">
        <w:rPr>
          <w:rFonts w:ascii="Arial" w:hAnsi="Arial" w:cs="Arial"/>
          <w:bCs/>
        </w:rPr>
        <w:tab/>
      </w:r>
      <w:r w:rsidR="00AB1D4E">
        <w:rPr>
          <w:rFonts w:ascii="Arial" w:hAnsi="Arial" w:cs="Arial"/>
          <w:bCs/>
        </w:rPr>
        <w:tab/>
      </w:r>
      <w:r w:rsidR="00AB1D4E">
        <w:rPr>
          <w:rFonts w:ascii="Arial" w:hAnsi="Arial" w:cs="Arial"/>
          <w:bCs/>
        </w:rPr>
        <w:tab/>
      </w:r>
      <w:r w:rsidR="00AB1D4E">
        <w:rPr>
          <w:rFonts w:ascii="Arial" w:hAnsi="Arial" w:cs="Arial"/>
          <w:bCs/>
        </w:rPr>
        <w:tab/>
      </w:r>
      <w:r w:rsidR="00AB1D4E">
        <w:rPr>
          <w:rFonts w:ascii="Arial" w:hAnsi="Arial" w:cs="Arial"/>
          <w:bCs/>
        </w:rPr>
        <w:tab/>
      </w:r>
      <w:r w:rsidR="00AB1D4E">
        <w:rPr>
          <w:rFonts w:ascii="Arial" w:hAnsi="Arial" w:cs="Arial"/>
          <w:bCs/>
        </w:rPr>
        <w:tab/>
      </w:r>
    </w:p>
    <w:p w14:paraId="75606079" w14:textId="77777777" w:rsidR="00AB1D4E" w:rsidRPr="00AB1D4E" w:rsidRDefault="00AB1D4E" w:rsidP="00AB1D4E">
      <w:pPr>
        <w:spacing w:after="0" w:line="240" w:lineRule="auto"/>
        <w:rPr>
          <w:rFonts w:ascii="Arial" w:hAnsi="Arial" w:cs="Arial"/>
          <w:bCs/>
        </w:rPr>
      </w:pPr>
    </w:p>
    <w:sectPr w:rsidR="00AB1D4E" w:rsidRPr="00AB1D4E" w:rsidSect="000A2B50">
      <w:headerReference w:type="default" r:id="rId8"/>
      <w:footerReference w:type="default" r:id="rId9"/>
      <w:type w:val="continuous"/>
      <w:pgSz w:w="12240" w:h="15840" w:code="1"/>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D427" w14:textId="77777777" w:rsidR="00B86F27" w:rsidRDefault="00B86F27" w:rsidP="00CC0DA6">
      <w:pPr>
        <w:spacing w:after="0" w:line="240" w:lineRule="auto"/>
      </w:pPr>
      <w:r>
        <w:separator/>
      </w:r>
    </w:p>
  </w:endnote>
  <w:endnote w:type="continuationSeparator" w:id="0">
    <w:p w14:paraId="0AAB62BD" w14:textId="77777777" w:rsidR="00B86F27" w:rsidRDefault="00B86F27" w:rsidP="00CC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7186" w14:textId="77777777" w:rsidR="00EE2F2A" w:rsidRPr="00A319C4" w:rsidRDefault="00ED0839" w:rsidP="0084533D">
    <w:pPr>
      <w:pStyle w:val="Footer"/>
    </w:pPr>
    <w:r w:rsidRPr="00A319C4">
      <w:t xml:space="preserve">Page </w:t>
    </w:r>
    <w:r w:rsidRPr="00A319C4">
      <w:fldChar w:fldCharType="begin"/>
    </w:r>
    <w:r w:rsidRPr="00A319C4">
      <w:instrText xml:space="preserve"> PAGE </w:instrText>
    </w:r>
    <w:r w:rsidRPr="00A319C4">
      <w:fldChar w:fldCharType="separate"/>
    </w:r>
    <w:r w:rsidR="002365DB">
      <w:rPr>
        <w:noProof/>
      </w:rPr>
      <w:t>1</w:t>
    </w:r>
    <w:r w:rsidRPr="00A319C4">
      <w:fldChar w:fldCharType="end"/>
    </w:r>
    <w:r w:rsidRPr="00A319C4">
      <w:t xml:space="preserve"> of </w:t>
    </w:r>
    <w:r w:rsidR="00EF14C1">
      <w:rPr>
        <w:noProof/>
      </w:rPr>
      <w:fldChar w:fldCharType="begin"/>
    </w:r>
    <w:r w:rsidR="00EF14C1">
      <w:rPr>
        <w:noProof/>
      </w:rPr>
      <w:instrText xml:space="preserve"> NUMPAGES </w:instrText>
    </w:r>
    <w:r w:rsidR="00EF14C1">
      <w:rPr>
        <w:noProof/>
      </w:rPr>
      <w:fldChar w:fldCharType="separate"/>
    </w:r>
    <w:r w:rsidR="002365DB">
      <w:rPr>
        <w:noProof/>
      </w:rPr>
      <w:t>1</w:t>
    </w:r>
    <w:r w:rsidR="00EF14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7BFB" w14:textId="77777777" w:rsidR="00B86F27" w:rsidRDefault="00B86F27" w:rsidP="00CC0DA6">
      <w:pPr>
        <w:spacing w:after="0" w:line="240" w:lineRule="auto"/>
      </w:pPr>
      <w:r>
        <w:separator/>
      </w:r>
    </w:p>
  </w:footnote>
  <w:footnote w:type="continuationSeparator" w:id="0">
    <w:p w14:paraId="42BBB784" w14:textId="77777777" w:rsidR="00B86F27" w:rsidRDefault="00B86F27" w:rsidP="00CC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20"/>
      <w:gridCol w:w="3697"/>
      <w:gridCol w:w="3143"/>
    </w:tblGrid>
    <w:tr w:rsidR="00602D5F" w14:paraId="31C4678C" w14:textId="77777777" w:rsidTr="00602D5F">
      <w:trPr>
        <w:trHeight w:val="1710"/>
      </w:trPr>
      <w:tc>
        <w:tcPr>
          <w:tcW w:w="2520" w:type="dxa"/>
          <w:tcBorders>
            <w:top w:val="nil"/>
            <w:left w:val="nil"/>
            <w:bottom w:val="single" w:sz="4" w:space="0" w:color="auto"/>
            <w:right w:val="nil"/>
          </w:tcBorders>
        </w:tcPr>
        <w:p w14:paraId="00831685" w14:textId="77777777" w:rsidR="000A2B50" w:rsidRDefault="000A2B50" w:rsidP="00602D5F">
          <w:pPr>
            <w:tabs>
              <w:tab w:val="left" w:pos="5760"/>
            </w:tabs>
            <w:jc w:val="center"/>
            <w:rPr>
              <w:rFonts w:ascii="Arial" w:hAnsi="Arial" w:cs="Arial"/>
              <w:bCs/>
            </w:rPr>
          </w:pPr>
          <w:r w:rsidRPr="000A2B50">
            <w:rPr>
              <w:rFonts w:ascii="Arial" w:hAnsi="Arial" w:cs="Arial"/>
              <w:b/>
              <w:noProof/>
            </w:rPr>
            <w:drawing>
              <wp:anchor distT="0" distB="0" distL="114300" distR="114300" simplePos="0" relativeHeight="251657216" behindDoc="1" locked="0" layoutInCell="1" allowOverlap="1" wp14:anchorId="6A58550E" wp14:editId="0A77877C">
                <wp:simplePos x="0" y="0"/>
                <wp:positionH relativeFrom="column">
                  <wp:posOffset>223520</wp:posOffset>
                </wp:positionH>
                <wp:positionV relativeFrom="paragraph">
                  <wp:posOffset>4445</wp:posOffset>
                </wp:positionV>
                <wp:extent cx="1029986" cy="1026597"/>
                <wp:effectExtent l="0" t="0" r="0" b="2540"/>
                <wp:wrapTight wrapText="bothSides">
                  <wp:wrapPolygon edited="0">
                    <wp:start x="7191" y="0"/>
                    <wp:lineTo x="4395" y="1203"/>
                    <wp:lineTo x="0" y="5213"/>
                    <wp:lineTo x="0" y="14837"/>
                    <wp:lineTo x="3196" y="19248"/>
                    <wp:lineTo x="3196" y="19649"/>
                    <wp:lineTo x="7191" y="21252"/>
                    <wp:lineTo x="7990" y="21252"/>
                    <wp:lineTo x="13184" y="21252"/>
                    <wp:lineTo x="13983" y="21252"/>
                    <wp:lineTo x="18377" y="19248"/>
                    <wp:lineTo x="21174" y="14035"/>
                    <wp:lineTo x="21174" y="5213"/>
                    <wp:lineTo x="15980" y="802"/>
                    <wp:lineTo x="13583" y="0"/>
                    <wp:lineTo x="7191" y="0"/>
                  </wp:wrapPolygon>
                </wp:wrapTight>
                <wp:docPr id="73" name="Picture 5" descr="Sea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col"/>
                        <pic:cNvPicPr>
                          <a:picLocks noChangeAspect="1" noChangeArrowheads="1"/>
                        </pic:cNvPicPr>
                      </pic:nvPicPr>
                      <pic:blipFill>
                        <a:blip r:embed="rId1" cstate="print"/>
                        <a:srcRect/>
                        <a:stretch>
                          <a:fillRect/>
                        </a:stretch>
                      </pic:blipFill>
                      <pic:spPr bwMode="auto">
                        <a:xfrm>
                          <a:off x="0" y="0"/>
                          <a:ext cx="1029986" cy="1026597"/>
                        </a:xfrm>
                        <a:prstGeom prst="rect">
                          <a:avLst/>
                        </a:prstGeom>
                        <a:noFill/>
                        <a:ln w="9525" algn="ctr">
                          <a:miter lim="800000"/>
                          <a:headEnd/>
                          <a:tailEnd/>
                        </a:ln>
                      </pic:spPr>
                    </pic:pic>
                  </a:graphicData>
                </a:graphic>
              </wp:anchor>
            </w:drawing>
          </w:r>
        </w:p>
      </w:tc>
      <w:tc>
        <w:tcPr>
          <w:tcW w:w="3697" w:type="dxa"/>
          <w:tcBorders>
            <w:top w:val="nil"/>
            <w:left w:val="nil"/>
            <w:bottom w:val="single" w:sz="4" w:space="0" w:color="auto"/>
            <w:right w:val="nil"/>
          </w:tcBorders>
        </w:tcPr>
        <w:p w14:paraId="40038F4F" w14:textId="77777777" w:rsidR="000A2B50" w:rsidRPr="00F6455D" w:rsidRDefault="000A2B50" w:rsidP="000A2B50">
          <w:pPr>
            <w:jc w:val="center"/>
            <w:rPr>
              <w:rFonts w:ascii="Times New Roman" w:hAnsi="Times New Roman"/>
              <w:b/>
              <w:noProof/>
              <w:sz w:val="28"/>
              <w:szCs w:val="28"/>
            </w:rPr>
          </w:pPr>
          <w:r w:rsidRPr="00F6455D">
            <w:rPr>
              <w:rFonts w:ascii="Times New Roman" w:hAnsi="Times New Roman"/>
              <w:b/>
              <w:noProof/>
              <w:sz w:val="28"/>
              <w:szCs w:val="28"/>
            </w:rPr>
            <w:t>Florida</w:t>
          </w:r>
        </w:p>
        <w:p w14:paraId="639D9CDE" w14:textId="77777777" w:rsidR="000A2B50" w:rsidRPr="00F6455D" w:rsidRDefault="000A2B50" w:rsidP="000A2B50">
          <w:pPr>
            <w:jc w:val="center"/>
            <w:rPr>
              <w:rFonts w:ascii="Times New Roman" w:hAnsi="Times New Roman"/>
              <w:b/>
              <w:sz w:val="28"/>
              <w:szCs w:val="28"/>
            </w:rPr>
          </w:pPr>
          <w:r w:rsidRPr="00F6455D">
            <w:rPr>
              <w:rFonts w:ascii="Times New Roman" w:hAnsi="Times New Roman"/>
              <w:b/>
              <w:noProof/>
              <w:sz w:val="28"/>
              <w:szCs w:val="28"/>
            </w:rPr>
            <w:t>Emergency Medical Services</w:t>
          </w:r>
        </w:p>
        <w:p w14:paraId="3097EDC8" w14:textId="77777777" w:rsidR="000A2B50" w:rsidRPr="00F6455D" w:rsidRDefault="000A2B50" w:rsidP="000A2B50">
          <w:pPr>
            <w:jc w:val="center"/>
            <w:rPr>
              <w:rFonts w:ascii="Times New Roman" w:hAnsi="Times New Roman"/>
              <w:b/>
              <w:noProof/>
              <w:sz w:val="28"/>
              <w:szCs w:val="28"/>
            </w:rPr>
          </w:pPr>
          <w:r w:rsidRPr="00F6455D">
            <w:rPr>
              <w:rFonts w:ascii="Times New Roman" w:hAnsi="Times New Roman"/>
              <w:b/>
              <w:noProof/>
              <w:sz w:val="28"/>
              <w:szCs w:val="28"/>
            </w:rPr>
            <w:t>Advisory Council</w:t>
          </w:r>
        </w:p>
        <w:p w14:paraId="4F89D22B" w14:textId="77777777" w:rsidR="000A2B50" w:rsidRDefault="000A2B50" w:rsidP="000A2B50">
          <w:pPr>
            <w:tabs>
              <w:tab w:val="left" w:pos="5760"/>
            </w:tabs>
            <w:jc w:val="both"/>
            <w:rPr>
              <w:rFonts w:ascii="Arial" w:hAnsi="Arial" w:cs="Arial"/>
              <w:bCs/>
            </w:rPr>
          </w:pPr>
        </w:p>
      </w:tc>
      <w:tc>
        <w:tcPr>
          <w:tcW w:w="3143" w:type="dxa"/>
          <w:tcBorders>
            <w:top w:val="nil"/>
            <w:left w:val="nil"/>
            <w:bottom w:val="single" w:sz="4" w:space="0" w:color="auto"/>
            <w:right w:val="nil"/>
          </w:tcBorders>
        </w:tcPr>
        <w:p w14:paraId="7550A485" w14:textId="3869D434" w:rsidR="000A2B50" w:rsidRDefault="00602D5F" w:rsidP="00602D5F">
          <w:pPr>
            <w:tabs>
              <w:tab w:val="left" w:pos="5760"/>
            </w:tabs>
            <w:jc w:val="center"/>
            <w:rPr>
              <w:rFonts w:ascii="Arial" w:hAnsi="Arial" w:cs="Arial"/>
              <w:bCs/>
            </w:rPr>
          </w:pPr>
          <w:r>
            <w:rPr>
              <w:noProof/>
            </w:rPr>
            <w:drawing>
              <wp:inline distT="0" distB="0" distL="0" distR="0" wp14:anchorId="3D221AE9" wp14:editId="51FFB38E">
                <wp:extent cx="1068070" cy="1054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643" cy="1065802"/>
                        </a:xfrm>
                        <a:prstGeom prst="rect">
                          <a:avLst/>
                        </a:prstGeom>
                        <a:noFill/>
                        <a:ln>
                          <a:noFill/>
                        </a:ln>
                      </pic:spPr>
                    </pic:pic>
                  </a:graphicData>
                </a:graphic>
              </wp:inline>
            </w:drawing>
          </w:r>
        </w:p>
      </w:tc>
    </w:tr>
    <w:tr w:rsidR="00602D5F" w14:paraId="725B372E" w14:textId="77777777" w:rsidTr="00602D5F">
      <w:trPr>
        <w:trHeight w:val="647"/>
      </w:trPr>
      <w:tc>
        <w:tcPr>
          <w:tcW w:w="2520" w:type="dxa"/>
          <w:tcBorders>
            <w:top w:val="single" w:sz="4" w:space="0" w:color="auto"/>
          </w:tcBorders>
        </w:tcPr>
        <w:p w14:paraId="56C5289F" w14:textId="77777777" w:rsidR="000A2B50" w:rsidRP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Motion/Resolution #:</w:t>
          </w:r>
        </w:p>
        <w:p w14:paraId="64B42F88" w14:textId="77777777" w:rsidR="000A2B50" w:rsidRP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24- Resolution-01</w:t>
          </w:r>
        </w:p>
      </w:tc>
      <w:tc>
        <w:tcPr>
          <w:tcW w:w="3697" w:type="dxa"/>
          <w:tcBorders>
            <w:top w:val="single" w:sz="4" w:space="0" w:color="auto"/>
          </w:tcBorders>
        </w:tcPr>
        <w:p w14:paraId="6F905117" w14:textId="540A6121" w:rsidR="000A2B50" w:rsidRP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 xml:space="preserve">Source: </w:t>
          </w:r>
          <w:r w:rsidR="00A229D2">
            <w:rPr>
              <w:rFonts w:ascii="Arial" w:hAnsi="Arial" w:cs="Arial"/>
              <w:bCs/>
              <w:sz w:val="22"/>
              <w:szCs w:val="22"/>
            </w:rPr>
            <w:t>Medical Care Committee</w:t>
          </w:r>
        </w:p>
      </w:tc>
      <w:tc>
        <w:tcPr>
          <w:tcW w:w="3143" w:type="dxa"/>
          <w:tcBorders>
            <w:top w:val="single" w:sz="4" w:space="0" w:color="auto"/>
          </w:tcBorders>
        </w:tcPr>
        <w:p w14:paraId="771664A0" w14:textId="77777777" w:rsid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Approved by the Council:</w:t>
          </w:r>
        </w:p>
        <w:p w14:paraId="0E83D3A6" w14:textId="78D55221" w:rsidR="00386A21" w:rsidRPr="000A2B50" w:rsidRDefault="00386A21" w:rsidP="000A2B50">
          <w:pPr>
            <w:tabs>
              <w:tab w:val="left" w:pos="5760"/>
            </w:tabs>
            <w:jc w:val="both"/>
            <w:rPr>
              <w:rFonts w:ascii="Arial" w:hAnsi="Arial" w:cs="Arial"/>
              <w:bCs/>
              <w:sz w:val="22"/>
              <w:szCs w:val="22"/>
            </w:rPr>
          </w:pPr>
          <w:r>
            <w:rPr>
              <w:rFonts w:ascii="Arial" w:hAnsi="Arial" w:cs="Arial"/>
              <w:bCs/>
              <w:sz w:val="22"/>
              <w:szCs w:val="22"/>
            </w:rPr>
            <w:t>TBD</w:t>
          </w:r>
        </w:p>
      </w:tc>
    </w:tr>
    <w:tr w:rsidR="00602D5F" w14:paraId="4CDA360C" w14:textId="77777777" w:rsidTr="00602D5F">
      <w:trPr>
        <w:trHeight w:val="602"/>
      </w:trPr>
      <w:tc>
        <w:tcPr>
          <w:tcW w:w="2520" w:type="dxa"/>
        </w:tcPr>
        <w:p w14:paraId="3060E289" w14:textId="77777777" w:rsidR="000A2B50" w:rsidRP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 xml:space="preserve">Reference: </w:t>
          </w:r>
        </w:p>
      </w:tc>
      <w:tc>
        <w:tcPr>
          <w:tcW w:w="3697" w:type="dxa"/>
        </w:tcPr>
        <w:p w14:paraId="0FDF814E" w14:textId="101D4796" w:rsidR="000A2B50" w:rsidRP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Created:</w:t>
          </w:r>
          <w:r w:rsidR="00386A21">
            <w:rPr>
              <w:rFonts w:ascii="Arial" w:hAnsi="Arial" w:cs="Arial"/>
              <w:bCs/>
              <w:sz w:val="22"/>
              <w:szCs w:val="22"/>
            </w:rPr>
            <w:t xml:space="preserve"> December 24, 2023</w:t>
          </w:r>
        </w:p>
      </w:tc>
      <w:tc>
        <w:tcPr>
          <w:tcW w:w="3143" w:type="dxa"/>
        </w:tcPr>
        <w:p w14:paraId="0C705785" w14:textId="77777777" w:rsidR="000A2B50" w:rsidRPr="000A2B50" w:rsidRDefault="000A2B50" w:rsidP="000A2B50">
          <w:pPr>
            <w:tabs>
              <w:tab w:val="left" w:pos="5760"/>
            </w:tabs>
            <w:jc w:val="both"/>
            <w:rPr>
              <w:rFonts w:ascii="Arial" w:hAnsi="Arial" w:cs="Arial"/>
              <w:bCs/>
              <w:sz w:val="22"/>
              <w:szCs w:val="22"/>
            </w:rPr>
          </w:pPr>
          <w:r w:rsidRPr="000A2B50">
            <w:rPr>
              <w:rFonts w:ascii="Arial" w:hAnsi="Arial" w:cs="Arial"/>
              <w:bCs/>
              <w:sz w:val="22"/>
              <w:szCs w:val="22"/>
            </w:rPr>
            <w:t xml:space="preserve">Amended: </w:t>
          </w:r>
        </w:p>
      </w:tc>
    </w:tr>
  </w:tbl>
  <w:sdt>
    <w:sdtPr>
      <w:id w:val="703980553"/>
      <w:docPartObj>
        <w:docPartGallery w:val="Watermarks"/>
        <w:docPartUnique/>
      </w:docPartObj>
    </w:sdtPr>
    <w:sdtContent>
      <w:p w14:paraId="3A9655E8" w14:textId="0303D448" w:rsidR="008940FA" w:rsidRPr="008940FA" w:rsidRDefault="00000000" w:rsidP="008940FA">
        <w:pPr>
          <w:pStyle w:val="Header"/>
        </w:pPr>
        <w:r>
          <w:rPr>
            <w:noProof/>
          </w:rPr>
          <w:pict w14:anchorId="52006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71A9"/>
    <w:multiLevelType w:val="singleLevel"/>
    <w:tmpl w:val="04090003"/>
    <w:lvl w:ilvl="0">
      <w:start w:val="1"/>
      <w:numFmt w:val="bullet"/>
      <w:lvlText w:val="o"/>
      <w:lvlJc w:val="left"/>
      <w:pPr>
        <w:ind w:left="630" w:hanging="360"/>
      </w:pPr>
      <w:rPr>
        <w:rFonts w:ascii="Courier New" w:hAnsi="Courier New" w:cs="Courier New" w:hint="default"/>
      </w:rPr>
    </w:lvl>
  </w:abstractNum>
  <w:abstractNum w:abstractNumId="1" w15:restartNumberingAfterBreak="0">
    <w:nsid w:val="09122512"/>
    <w:multiLevelType w:val="hybridMultilevel"/>
    <w:tmpl w:val="947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362F"/>
    <w:multiLevelType w:val="hybridMultilevel"/>
    <w:tmpl w:val="BD445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37CFA"/>
    <w:multiLevelType w:val="hybridMultilevel"/>
    <w:tmpl w:val="8B4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E1EB5"/>
    <w:multiLevelType w:val="hybridMultilevel"/>
    <w:tmpl w:val="9C60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C1986"/>
    <w:multiLevelType w:val="hybridMultilevel"/>
    <w:tmpl w:val="BCA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72EC4"/>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 w15:restartNumberingAfterBreak="0">
    <w:nsid w:val="560A7D10"/>
    <w:multiLevelType w:val="hybridMultilevel"/>
    <w:tmpl w:val="D7E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107"/>
    <w:multiLevelType w:val="multilevel"/>
    <w:tmpl w:val="BAAE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864067">
    <w:abstractNumId w:val="0"/>
  </w:num>
  <w:num w:numId="2" w16cid:durableId="350030169">
    <w:abstractNumId w:val="6"/>
  </w:num>
  <w:num w:numId="3" w16cid:durableId="2115711655">
    <w:abstractNumId w:val="2"/>
  </w:num>
  <w:num w:numId="4" w16cid:durableId="1368070277">
    <w:abstractNumId w:val="7"/>
  </w:num>
  <w:num w:numId="5" w16cid:durableId="842277652">
    <w:abstractNumId w:val="5"/>
  </w:num>
  <w:num w:numId="6" w16cid:durableId="1453673148">
    <w:abstractNumId w:val="1"/>
  </w:num>
  <w:num w:numId="7" w16cid:durableId="1763797607">
    <w:abstractNumId w:val="3"/>
  </w:num>
  <w:num w:numId="8" w16cid:durableId="980842649">
    <w:abstractNumId w:val="4"/>
  </w:num>
  <w:num w:numId="9" w16cid:durableId="1767309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A6"/>
    <w:rsid w:val="000663C9"/>
    <w:rsid w:val="00067C43"/>
    <w:rsid w:val="000869E3"/>
    <w:rsid w:val="000A2B50"/>
    <w:rsid w:val="00123B62"/>
    <w:rsid w:val="00165753"/>
    <w:rsid w:val="00173FF0"/>
    <w:rsid w:val="00176FA2"/>
    <w:rsid w:val="0018728E"/>
    <w:rsid w:val="00201FC3"/>
    <w:rsid w:val="002365DB"/>
    <w:rsid w:val="00241DCB"/>
    <w:rsid w:val="002C73C7"/>
    <w:rsid w:val="00302593"/>
    <w:rsid w:val="003846FD"/>
    <w:rsid w:val="00386A21"/>
    <w:rsid w:val="00413553"/>
    <w:rsid w:val="00414018"/>
    <w:rsid w:val="004428D6"/>
    <w:rsid w:val="004A3A69"/>
    <w:rsid w:val="004F4B27"/>
    <w:rsid w:val="00562C37"/>
    <w:rsid w:val="00590E72"/>
    <w:rsid w:val="00592454"/>
    <w:rsid w:val="005E5025"/>
    <w:rsid w:val="005F4767"/>
    <w:rsid w:val="00602D5F"/>
    <w:rsid w:val="00615A09"/>
    <w:rsid w:val="00652B4D"/>
    <w:rsid w:val="006626DE"/>
    <w:rsid w:val="00665606"/>
    <w:rsid w:val="006B5439"/>
    <w:rsid w:val="007342C4"/>
    <w:rsid w:val="00782506"/>
    <w:rsid w:val="0078399C"/>
    <w:rsid w:val="007A5E1A"/>
    <w:rsid w:val="007B1A7C"/>
    <w:rsid w:val="007D426D"/>
    <w:rsid w:val="00804D80"/>
    <w:rsid w:val="00812E6C"/>
    <w:rsid w:val="00835EE5"/>
    <w:rsid w:val="00853E04"/>
    <w:rsid w:val="00860FE8"/>
    <w:rsid w:val="008940FA"/>
    <w:rsid w:val="008A5FDB"/>
    <w:rsid w:val="00951924"/>
    <w:rsid w:val="00980718"/>
    <w:rsid w:val="00990E2D"/>
    <w:rsid w:val="009920A5"/>
    <w:rsid w:val="009D4599"/>
    <w:rsid w:val="009E1382"/>
    <w:rsid w:val="009E7101"/>
    <w:rsid w:val="00A01A76"/>
    <w:rsid w:val="00A229D2"/>
    <w:rsid w:val="00A410E4"/>
    <w:rsid w:val="00A865B5"/>
    <w:rsid w:val="00AA2655"/>
    <w:rsid w:val="00AA6B4B"/>
    <w:rsid w:val="00AB1D4E"/>
    <w:rsid w:val="00AC5E52"/>
    <w:rsid w:val="00B0240A"/>
    <w:rsid w:val="00B145DB"/>
    <w:rsid w:val="00B441AD"/>
    <w:rsid w:val="00B52E97"/>
    <w:rsid w:val="00B86F27"/>
    <w:rsid w:val="00BD6D37"/>
    <w:rsid w:val="00BF73CE"/>
    <w:rsid w:val="00C03CB8"/>
    <w:rsid w:val="00C35E35"/>
    <w:rsid w:val="00C531E1"/>
    <w:rsid w:val="00C77D86"/>
    <w:rsid w:val="00CC0DA6"/>
    <w:rsid w:val="00D14089"/>
    <w:rsid w:val="00D628DD"/>
    <w:rsid w:val="00D96B12"/>
    <w:rsid w:val="00DA39F4"/>
    <w:rsid w:val="00DB2593"/>
    <w:rsid w:val="00E1304A"/>
    <w:rsid w:val="00E311CE"/>
    <w:rsid w:val="00E315FB"/>
    <w:rsid w:val="00E401AA"/>
    <w:rsid w:val="00E451D0"/>
    <w:rsid w:val="00E5497C"/>
    <w:rsid w:val="00ED0839"/>
    <w:rsid w:val="00EF14C1"/>
    <w:rsid w:val="00EF56BA"/>
    <w:rsid w:val="00EF61AF"/>
    <w:rsid w:val="00F208EE"/>
    <w:rsid w:val="00F6455D"/>
    <w:rsid w:val="00F9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0A9C6"/>
  <w15:docId w15:val="{18400389-A7CD-47EE-A10F-A2736FFA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BA"/>
  </w:style>
  <w:style w:type="paragraph" w:styleId="Heading1">
    <w:name w:val="heading 1"/>
    <w:basedOn w:val="Normal"/>
    <w:next w:val="Normal"/>
    <w:link w:val="Heading1Char"/>
    <w:qFormat/>
    <w:rsid w:val="0098071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5F47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A6"/>
  </w:style>
  <w:style w:type="paragraph" w:styleId="Footer">
    <w:name w:val="footer"/>
    <w:basedOn w:val="Normal"/>
    <w:link w:val="FooterChar"/>
    <w:uiPriority w:val="99"/>
    <w:unhideWhenUsed/>
    <w:rsid w:val="00CC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A6"/>
  </w:style>
  <w:style w:type="paragraph" w:styleId="BalloonText">
    <w:name w:val="Balloon Text"/>
    <w:basedOn w:val="Normal"/>
    <w:link w:val="BalloonTextChar"/>
    <w:uiPriority w:val="99"/>
    <w:semiHidden/>
    <w:unhideWhenUsed/>
    <w:rsid w:val="00CC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A6"/>
    <w:rPr>
      <w:rFonts w:ascii="Tahoma" w:hAnsi="Tahoma" w:cs="Tahoma"/>
      <w:sz w:val="16"/>
      <w:szCs w:val="16"/>
    </w:rPr>
  </w:style>
  <w:style w:type="paragraph" w:styleId="PlainText">
    <w:name w:val="Plain Text"/>
    <w:basedOn w:val="Normal"/>
    <w:link w:val="PlainTextChar"/>
    <w:uiPriority w:val="99"/>
    <w:unhideWhenUsed/>
    <w:rsid w:val="009E138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9E1382"/>
    <w:rPr>
      <w:rFonts w:ascii="Consolas" w:eastAsia="Calibri" w:hAnsi="Consolas" w:cs="Consolas"/>
      <w:sz w:val="21"/>
      <w:szCs w:val="21"/>
    </w:rPr>
  </w:style>
  <w:style w:type="character" w:customStyle="1" w:styleId="Heading1Char">
    <w:name w:val="Heading 1 Char"/>
    <w:basedOn w:val="DefaultParagraphFont"/>
    <w:link w:val="Heading1"/>
    <w:rsid w:val="0098071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980718"/>
    <w:rPr>
      <w:color w:val="0563C1"/>
      <w:u w:val="single"/>
    </w:rPr>
  </w:style>
  <w:style w:type="paragraph" w:customStyle="1" w:styleId="Default">
    <w:name w:val="Default"/>
    <w:rsid w:val="0098071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53E04"/>
    <w:pPr>
      <w:ind w:left="720"/>
      <w:contextualSpacing/>
    </w:pPr>
  </w:style>
  <w:style w:type="character" w:customStyle="1" w:styleId="Heading2Char">
    <w:name w:val="Heading 2 Char"/>
    <w:basedOn w:val="DefaultParagraphFont"/>
    <w:link w:val="Heading2"/>
    <w:uiPriority w:val="9"/>
    <w:semiHidden/>
    <w:rsid w:val="005F4767"/>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5F4767"/>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3390">
      <w:bodyDiv w:val="1"/>
      <w:marLeft w:val="0"/>
      <w:marRight w:val="0"/>
      <w:marTop w:val="0"/>
      <w:marBottom w:val="0"/>
      <w:divBdr>
        <w:top w:val="none" w:sz="0" w:space="0" w:color="auto"/>
        <w:left w:val="none" w:sz="0" w:space="0" w:color="auto"/>
        <w:bottom w:val="none" w:sz="0" w:space="0" w:color="auto"/>
        <w:right w:val="none" w:sz="0" w:space="0" w:color="auto"/>
      </w:divBdr>
      <w:divsChild>
        <w:div w:id="535434839">
          <w:marLeft w:val="0"/>
          <w:marRight w:val="0"/>
          <w:marTop w:val="0"/>
          <w:marBottom w:val="0"/>
          <w:divBdr>
            <w:top w:val="single" w:sz="2" w:space="0" w:color="E5E7EB"/>
            <w:left w:val="single" w:sz="2" w:space="0" w:color="E5E7EB"/>
            <w:bottom w:val="single" w:sz="2" w:space="0" w:color="E5E7EB"/>
            <w:right w:val="single" w:sz="2" w:space="0" w:color="E5E7EB"/>
          </w:divBdr>
        </w:div>
        <w:div w:id="1380280413">
          <w:marLeft w:val="0"/>
          <w:marRight w:val="0"/>
          <w:marTop w:val="0"/>
          <w:marBottom w:val="0"/>
          <w:divBdr>
            <w:top w:val="single" w:sz="2" w:space="0" w:color="E5E7EB"/>
            <w:left w:val="single" w:sz="2" w:space="0" w:color="E5E7EB"/>
            <w:bottom w:val="single" w:sz="2" w:space="0" w:color="E5E7EB"/>
            <w:right w:val="single" w:sz="2" w:space="0" w:color="E5E7EB"/>
          </w:divBdr>
        </w:div>
        <w:div w:id="93401252">
          <w:marLeft w:val="0"/>
          <w:marRight w:val="0"/>
          <w:marTop w:val="0"/>
          <w:marBottom w:val="0"/>
          <w:divBdr>
            <w:top w:val="single" w:sz="2" w:space="0" w:color="E5E7EB"/>
            <w:left w:val="single" w:sz="2" w:space="0" w:color="E5E7EB"/>
            <w:bottom w:val="single" w:sz="2" w:space="0" w:color="E5E7EB"/>
            <w:right w:val="single" w:sz="2" w:space="0" w:color="E5E7EB"/>
          </w:divBdr>
        </w:div>
        <w:div w:id="336226503">
          <w:marLeft w:val="0"/>
          <w:marRight w:val="0"/>
          <w:marTop w:val="0"/>
          <w:marBottom w:val="0"/>
          <w:divBdr>
            <w:top w:val="single" w:sz="2" w:space="0" w:color="E5E7EB"/>
            <w:left w:val="single" w:sz="2" w:space="0" w:color="E5E7EB"/>
            <w:bottom w:val="single" w:sz="2" w:space="0" w:color="E5E7EB"/>
            <w:right w:val="single" w:sz="2" w:space="0" w:color="E5E7EB"/>
          </w:divBdr>
        </w:div>
        <w:div w:id="1349942590">
          <w:marLeft w:val="0"/>
          <w:marRight w:val="0"/>
          <w:marTop w:val="0"/>
          <w:marBottom w:val="0"/>
          <w:divBdr>
            <w:top w:val="single" w:sz="2" w:space="0" w:color="E5E7EB"/>
            <w:left w:val="single" w:sz="2" w:space="0" w:color="E5E7EB"/>
            <w:bottom w:val="single" w:sz="2" w:space="0" w:color="E5E7EB"/>
            <w:right w:val="single" w:sz="2" w:space="0" w:color="E5E7EB"/>
          </w:divBdr>
        </w:div>
        <w:div w:id="1882281901">
          <w:marLeft w:val="0"/>
          <w:marRight w:val="0"/>
          <w:marTop w:val="0"/>
          <w:marBottom w:val="0"/>
          <w:divBdr>
            <w:top w:val="single" w:sz="2" w:space="0" w:color="E5E7EB"/>
            <w:left w:val="single" w:sz="2" w:space="0" w:color="E5E7EB"/>
            <w:bottom w:val="single" w:sz="2" w:space="0" w:color="E5E7EB"/>
            <w:right w:val="single" w:sz="2" w:space="0" w:color="E5E7EB"/>
          </w:divBdr>
        </w:div>
        <w:div w:id="996150932">
          <w:marLeft w:val="0"/>
          <w:marRight w:val="0"/>
          <w:marTop w:val="0"/>
          <w:marBottom w:val="0"/>
          <w:divBdr>
            <w:top w:val="single" w:sz="2" w:space="0" w:color="E5E7EB"/>
            <w:left w:val="single" w:sz="2" w:space="0" w:color="E5E7EB"/>
            <w:bottom w:val="single" w:sz="2" w:space="0" w:color="E5E7EB"/>
            <w:right w:val="single" w:sz="2" w:space="0" w:color="E5E7EB"/>
          </w:divBdr>
        </w:div>
        <w:div w:id="1276790745">
          <w:marLeft w:val="0"/>
          <w:marRight w:val="0"/>
          <w:marTop w:val="0"/>
          <w:marBottom w:val="0"/>
          <w:divBdr>
            <w:top w:val="single" w:sz="2" w:space="0" w:color="E5E7EB"/>
            <w:left w:val="single" w:sz="2" w:space="0" w:color="E5E7EB"/>
            <w:bottom w:val="single" w:sz="2" w:space="0" w:color="E5E7EB"/>
            <w:right w:val="single" w:sz="2" w:space="0" w:color="E5E7EB"/>
          </w:divBdr>
        </w:div>
        <w:div w:id="1893536872">
          <w:marLeft w:val="0"/>
          <w:marRight w:val="0"/>
          <w:marTop w:val="0"/>
          <w:marBottom w:val="0"/>
          <w:divBdr>
            <w:top w:val="single" w:sz="2" w:space="0" w:color="E5E7EB"/>
            <w:left w:val="single" w:sz="2" w:space="0" w:color="E5E7EB"/>
            <w:bottom w:val="single" w:sz="2" w:space="0" w:color="E5E7EB"/>
            <w:right w:val="single" w:sz="2" w:space="0" w:color="E5E7EB"/>
          </w:divBdr>
        </w:div>
        <w:div w:id="1430002152">
          <w:marLeft w:val="0"/>
          <w:marRight w:val="0"/>
          <w:marTop w:val="0"/>
          <w:marBottom w:val="0"/>
          <w:divBdr>
            <w:top w:val="single" w:sz="2" w:space="0" w:color="E5E7EB"/>
            <w:left w:val="single" w:sz="2" w:space="0" w:color="E5E7EB"/>
            <w:bottom w:val="single" w:sz="2" w:space="0" w:color="E5E7EB"/>
            <w:right w:val="single" w:sz="2" w:space="0" w:color="E5E7EB"/>
          </w:divBdr>
        </w:div>
        <w:div w:id="1466922713">
          <w:marLeft w:val="0"/>
          <w:marRight w:val="0"/>
          <w:marTop w:val="0"/>
          <w:marBottom w:val="0"/>
          <w:divBdr>
            <w:top w:val="single" w:sz="2" w:space="0" w:color="E5E7EB"/>
            <w:left w:val="single" w:sz="2" w:space="0" w:color="E5E7EB"/>
            <w:bottom w:val="single" w:sz="2" w:space="0" w:color="E5E7EB"/>
            <w:right w:val="single" w:sz="2" w:space="0" w:color="E5E7EB"/>
          </w:divBdr>
        </w:div>
        <w:div w:id="254747227">
          <w:marLeft w:val="0"/>
          <w:marRight w:val="0"/>
          <w:marTop w:val="0"/>
          <w:marBottom w:val="0"/>
          <w:divBdr>
            <w:top w:val="single" w:sz="2" w:space="0" w:color="E5E7EB"/>
            <w:left w:val="single" w:sz="2" w:space="0" w:color="E5E7EB"/>
            <w:bottom w:val="single" w:sz="2" w:space="0" w:color="E5E7EB"/>
            <w:right w:val="single" w:sz="2" w:space="0" w:color="E5E7EB"/>
          </w:divBdr>
        </w:div>
        <w:div w:id="9976083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E71F4-B5D8-4AF0-9A60-0802EF5F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2322</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Steve</dc:creator>
  <cp:lastModifiedBy>McCoy, Steve</cp:lastModifiedBy>
  <cp:revision>2</cp:revision>
  <cp:lastPrinted>2017-01-09T20:13:00Z</cp:lastPrinted>
  <dcterms:created xsi:type="dcterms:W3CDTF">2024-01-04T15:28:00Z</dcterms:created>
  <dcterms:modified xsi:type="dcterms:W3CDTF">2024-01-04T15:28:00Z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28262ce2a4aac1448691db244b9e767f4870167c6955143a13579a308d91f8c6</vt:lpwstr>
  </property>
</Properties>
</file>